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rPr>
          <w:rFonts w:hint="eastAsia"/>
        </w:rPr>
        <w:t>评选标准和方法</w:t>
      </w:r>
    </w:p>
    <w:p>
      <w:pPr>
        <w:spacing w:line="400" w:lineRule="exact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本项目实行综合评分法，在最大限度地满足招标文件实质性要求前提下，按照本招标文件中规定的各项因素进行综合评审后，以评标总得分最高的参选人作为中选候选人。评分权重按价格商务、技术权重分配，分值如下：</w:t>
      </w:r>
    </w:p>
    <w:p>
      <w:pPr>
        <w:tabs>
          <w:tab w:val="left" w:pos="-1080"/>
          <w:tab w:val="left" w:pos="180"/>
          <w:tab w:val="left" w:pos="1080"/>
        </w:tabs>
        <w:snapToGrid w:val="0"/>
        <w:spacing w:line="400" w:lineRule="exact"/>
        <w:ind w:firstLine="360" w:firstLineChars="150"/>
        <w:jc w:val="lef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A： 价格商务部分评分        满分</w:t>
      </w:r>
      <w:r>
        <w:rPr>
          <w:rFonts w:ascii="宋体" w:hAnsi="宋体" w:cs="宋体"/>
          <w:b/>
          <w:sz w:val="24"/>
        </w:rPr>
        <w:t>25</w:t>
      </w:r>
      <w:r>
        <w:rPr>
          <w:rFonts w:hint="eastAsia" w:ascii="宋体" w:hAnsi="宋体" w:cs="宋体"/>
          <w:b/>
          <w:sz w:val="24"/>
        </w:rPr>
        <w:t>分</w:t>
      </w:r>
    </w:p>
    <w:p>
      <w:pPr>
        <w:tabs>
          <w:tab w:val="left" w:pos="-1080"/>
          <w:tab w:val="left" w:pos="180"/>
          <w:tab w:val="left" w:pos="1080"/>
        </w:tabs>
        <w:snapToGrid w:val="0"/>
        <w:spacing w:line="400" w:lineRule="exact"/>
        <w:ind w:firstLine="360" w:firstLineChars="150"/>
        <w:jc w:val="lef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B： 技术部分评分            满分</w:t>
      </w:r>
      <w:r>
        <w:rPr>
          <w:rFonts w:ascii="宋体" w:hAnsi="宋体" w:cs="宋体"/>
          <w:b/>
          <w:sz w:val="24"/>
        </w:rPr>
        <w:t>75</w:t>
      </w:r>
      <w:r>
        <w:rPr>
          <w:rFonts w:hint="eastAsia" w:ascii="宋体" w:hAnsi="宋体" w:cs="宋体"/>
          <w:b/>
          <w:sz w:val="24"/>
        </w:rPr>
        <w:t>分</w:t>
      </w:r>
    </w:p>
    <w:p>
      <w:pPr>
        <w:numPr>
          <w:ilvl w:val="0"/>
          <w:numId w:val="1"/>
        </w:numPr>
        <w:ind w:left="420" w:hanging="42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价格商务部分评分</w:t>
      </w:r>
      <w:r>
        <w:rPr>
          <w:rFonts w:hint="eastAsia" w:ascii="宋体" w:hAnsi="宋体" w:cs="宋体"/>
          <w:b/>
          <w:sz w:val="24"/>
        </w:rPr>
        <w:tab/>
      </w:r>
      <w:r>
        <w:rPr>
          <w:rFonts w:hint="eastAsia" w:ascii="宋体" w:hAnsi="宋体" w:cs="宋体"/>
          <w:b/>
          <w:sz w:val="24"/>
        </w:rPr>
        <w:t>（满分</w:t>
      </w:r>
      <w:r>
        <w:rPr>
          <w:rFonts w:ascii="宋体" w:hAnsi="宋体" w:cs="宋体"/>
          <w:b/>
          <w:sz w:val="24"/>
        </w:rPr>
        <w:t>25</w:t>
      </w:r>
      <w:r>
        <w:rPr>
          <w:rFonts w:hint="eastAsia" w:ascii="宋体" w:hAnsi="宋体" w:cs="宋体"/>
          <w:b/>
          <w:sz w:val="24"/>
        </w:rPr>
        <w:t>分）</w:t>
      </w:r>
    </w:p>
    <w:p>
      <w:pPr>
        <w:pStyle w:val="17"/>
        <w:rPr>
          <w:rFonts w:ascii="宋体" w:hAnsi="宋体"/>
        </w:rPr>
      </w:pPr>
    </w:p>
    <w:tbl>
      <w:tblPr>
        <w:tblStyle w:val="8"/>
        <w:tblW w:w="9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4"/>
        <w:gridCol w:w="1154"/>
        <w:gridCol w:w="6944"/>
      </w:tblGrid>
      <w:tr>
        <w:trPr>
          <w:trHeight w:val="567" w:hRule="atLeast"/>
          <w:tblHeader/>
          <w:jc w:val="center"/>
        </w:trPr>
        <w:tc>
          <w:tcPr>
            <w:tcW w:w="1764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评标项目</w:t>
            </w:r>
          </w:p>
        </w:tc>
        <w:tc>
          <w:tcPr>
            <w:tcW w:w="1154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评标分值</w:t>
            </w:r>
          </w:p>
        </w:tc>
        <w:tc>
          <w:tcPr>
            <w:tcW w:w="6944" w:type="dxa"/>
            <w:vAlign w:val="center"/>
          </w:tcPr>
          <w:p>
            <w:pPr>
              <w:pStyle w:val="3"/>
              <w:snapToGrid w:val="0"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评标方法描述</w:t>
            </w:r>
          </w:p>
        </w:tc>
      </w:tr>
      <w:tr>
        <w:trPr>
          <w:trHeight w:val="567" w:hRule="atLeast"/>
          <w:tblHeader/>
          <w:jc w:val="center"/>
        </w:trPr>
        <w:tc>
          <w:tcPr>
            <w:tcW w:w="1764" w:type="dxa"/>
            <w:vAlign w:val="center"/>
          </w:tcPr>
          <w:p>
            <w:pPr>
              <w:pStyle w:val="3"/>
              <w:snapToGrid w:val="0"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报价得分</w:t>
            </w:r>
          </w:p>
        </w:tc>
        <w:tc>
          <w:tcPr>
            <w:tcW w:w="1154" w:type="dxa"/>
            <w:vAlign w:val="center"/>
          </w:tcPr>
          <w:p>
            <w:pPr>
              <w:pStyle w:val="3"/>
              <w:snapToGrid w:val="0"/>
              <w:spacing w:line="42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6944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最高价格为</w:t>
            </w:r>
            <w:r>
              <w:rPr>
                <w:rFonts w:hint="default" w:ascii="宋体" w:hAnsi="宋体" w:cs="宋体"/>
                <w:sz w:val="24"/>
              </w:rPr>
              <w:t>15</w:t>
            </w:r>
            <w:r>
              <w:rPr>
                <w:rFonts w:hint="eastAsia" w:ascii="宋体" w:hAnsi="宋体" w:cs="宋体"/>
                <w:sz w:val="24"/>
              </w:rPr>
              <w:t>万元</w:t>
            </w:r>
            <w:r>
              <w:rPr>
                <w:rFonts w:hint="default" w:ascii="宋体" w:hAnsi="宋体" w:cs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  <w:lang w:val="en-US" w:eastAsia="zh-Hans"/>
              </w:rPr>
              <w:t>月</w:t>
            </w:r>
            <w:r>
              <w:rPr>
                <w:rFonts w:hint="eastAsia" w:ascii="宋体" w:hAnsi="宋体" w:cs="宋体"/>
                <w:sz w:val="24"/>
              </w:rPr>
              <w:t>，按</w:t>
            </w:r>
            <w:r>
              <w:rPr>
                <w:rFonts w:hint="default" w:ascii="宋体" w:hAnsi="宋体" w:cs="宋体"/>
                <w:sz w:val="24"/>
              </w:rPr>
              <w:t>15</w:t>
            </w:r>
            <w:r>
              <w:rPr>
                <w:rFonts w:hint="eastAsia" w:ascii="宋体" w:hAnsi="宋体" w:cs="宋体"/>
                <w:sz w:val="24"/>
              </w:rPr>
              <w:t>元万报价的得基本分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分，每下浮</w:t>
            </w: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万元加</w:t>
            </w: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分，最高得</w:t>
            </w:r>
            <w:r>
              <w:rPr>
                <w:rFonts w:ascii="宋体" w:hAnsi="宋体" w:cs="宋体"/>
                <w:sz w:val="24"/>
              </w:rPr>
              <w:t>25</w:t>
            </w:r>
            <w:r>
              <w:rPr>
                <w:rFonts w:hint="eastAsia" w:ascii="宋体" w:hAnsi="宋体" w:cs="宋体"/>
                <w:sz w:val="24"/>
              </w:rPr>
              <w:t>分。</w:t>
            </w:r>
          </w:p>
        </w:tc>
      </w:tr>
      <w:tr>
        <w:trPr>
          <w:trHeight w:val="567" w:hRule="atLeast"/>
          <w:jc w:val="center"/>
        </w:trPr>
        <w:tc>
          <w:tcPr>
            <w:tcW w:w="9862" w:type="dxa"/>
            <w:gridSpan w:val="3"/>
            <w:vAlign w:val="center"/>
          </w:tcPr>
          <w:p>
            <w:pPr>
              <w:pStyle w:val="3"/>
              <w:snapToGrid w:val="0"/>
              <w:spacing w:line="42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注：参选人提供的材料均应真实有效，并加盖参选人单位公章。</w:t>
            </w:r>
          </w:p>
        </w:tc>
      </w:tr>
    </w:tbl>
    <w:p>
      <w:pPr>
        <w:pStyle w:val="7"/>
        <w:ind w:firstLine="480"/>
        <w:jc w:val="both"/>
        <w:outlineLvl w:val="9"/>
        <w:rPr>
          <w:rFonts w:ascii="宋体" w:hAnsi="宋体" w:cs="宋体"/>
          <w:bCs w:val="0"/>
          <w:sz w:val="24"/>
          <w:szCs w:val="24"/>
        </w:rPr>
      </w:pPr>
      <w:bookmarkStart w:id="0" w:name="_Toc17988"/>
      <w:r>
        <w:rPr>
          <w:rFonts w:hint="eastAsia" w:ascii="宋体" w:hAnsi="宋体" w:cs="宋体"/>
          <w:bCs w:val="0"/>
          <w:sz w:val="24"/>
          <w:szCs w:val="24"/>
        </w:rPr>
        <w:t>第二部分  技术部分评分（满分</w:t>
      </w:r>
      <w:r>
        <w:rPr>
          <w:rFonts w:ascii="宋体" w:hAnsi="宋体" w:cs="宋体"/>
          <w:bCs w:val="0"/>
          <w:sz w:val="24"/>
          <w:szCs w:val="24"/>
        </w:rPr>
        <w:t>75</w:t>
      </w:r>
      <w:r>
        <w:rPr>
          <w:rFonts w:hint="eastAsia" w:ascii="宋体" w:hAnsi="宋体" w:cs="宋体"/>
          <w:bCs w:val="0"/>
          <w:sz w:val="24"/>
          <w:szCs w:val="24"/>
        </w:rPr>
        <w:t>分）</w:t>
      </w:r>
      <w:bookmarkEnd w:id="0"/>
    </w:p>
    <w:tbl>
      <w:tblPr>
        <w:tblStyle w:val="8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750"/>
        <w:gridCol w:w="1200"/>
        <w:gridCol w:w="5952"/>
      </w:tblGrid>
      <w:tr>
        <w:trPr>
          <w:trHeight w:val="567" w:hRule="atLeast"/>
          <w:jc w:val="center"/>
        </w:trPr>
        <w:tc>
          <w:tcPr>
            <w:tcW w:w="943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序号</w:t>
            </w:r>
          </w:p>
        </w:tc>
        <w:tc>
          <w:tcPr>
            <w:tcW w:w="175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评标项目</w:t>
            </w:r>
          </w:p>
        </w:tc>
        <w:tc>
          <w:tcPr>
            <w:tcW w:w="120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评标分值</w:t>
            </w:r>
          </w:p>
        </w:tc>
        <w:tc>
          <w:tcPr>
            <w:tcW w:w="5952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评分标准</w:t>
            </w:r>
          </w:p>
        </w:tc>
      </w:tr>
      <w:tr>
        <w:trPr>
          <w:trHeight w:val="567" w:hRule="atLeast"/>
          <w:jc w:val="center"/>
        </w:trPr>
        <w:tc>
          <w:tcPr>
            <w:tcW w:w="943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5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方案框架</w:t>
            </w:r>
          </w:p>
        </w:tc>
        <w:tc>
          <w:tcPr>
            <w:tcW w:w="120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5952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根据参选人是否按照要求，未缺少规定内容，思维缜密，各部分组合关联性强等情况，分别进行评分。</w:t>
            </w:r>
          </w:p>
        </w:tc>
      </w:tr>
      <w:tr>
        <w:trPr>
          <w:trHeight w:val="567" w:hRule="atLeast"/>
          <w:jc w:val="center"/>
        </w:trPr>
        <w:tc>
          <w:tcPr>
            <w:tcW w:w="943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5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项目分析</w:t>
            </w:r>
          </w:p>
        </w:tc>
        <w:tc>
          <w:tcPr>
            <w:tcW w:w="120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5952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根据参选人对本项目的现状梳理，分析得出当前核心问题，分别进行评分。</w:t>
            </w:r>
          </w:p>
        </w:tc>
      </w:tr>
      <w:tr>
        <w:trPr>
          <w:trHeight w:val="567" w:hRule="atLeast"/>
          <w:jc w:val="center"/>
        </w:trPr>
        <w:tc>
          <w:tcPr>
            <w:tcW w:w="943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5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策划思路</w:t>
            </w:r>
          </w:p>
        </w:tc>
        <w:tc>
          <w:tcPr>
            <w:tcW w:w="120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5952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根据参选人对本项目的核心问题解决思路是否清晰，分别进行评分</w:t>
            </w:r>
          </w:p>
        </w:tc>
      </w:tr>
      <w:tr>
        <w:trPr>
          <w:trHeight w:val="860" w:hRule="atLeast"/>
          <w:jc w:val="center"/>
        </w:trPr>
        <w:tc>
          <w:tcPr>
            <w:tcW w:w="943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75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方案创新</w:t>
            </w:r>
          </w:p>
        </w:tc>
        <w:tc>
          <w:tcPr>
            <w:tcW w:w="120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5952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根据参选人对本项目的方案创新点，分别进行评分。</w:t>
            </w:r>
          </w:p>
        </w:tc>
      </w:tr>
      <w:tr>
        <w:trPr>
          <w:trHeight w:val="567" w:hRule="atLeast"/>
          <w:jc w:val="center"/>
        </w:trPr>
        <w:tc>
          <w:tcPr>
            <w:tcW w:w="943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175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成功案例</w:t>
            </w:r>
          </w:p>
        </w:tc>
        <w:tc>
          <w:tcPr>
            <w:tcW w:w="120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5952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根据参选人过往成功操盘的商业项目的亮点、借鉴意义等，分别进行评分</w:t>
            </w:r>
          </w:p>
        </w:tc>
      </w:tr>
      <w:tr>
        <w:trPr>
          <w:trHeight w:val="567" w:hRule="atLeast"/>
          <w:jc w:val="center"/>
        </w:trPr>
        <w:tc>
          <w:tcPr>
            <w:tcW w:w="943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175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可行性分析</w:t>
            </w:r>
          </w:p>
        </w:tc>
        <w:tc>
          <w:tcPr>
            <w:tcW w:w="1200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</w:p>
        </w:tc>
        <w:tc>
          <w:tcPr>
            <w:tcW w:w="5952" w:type="dxa"/>
            <w:vAlign w:val="center"/>
          </w:tcPr>
          <w:p>
            <w:pPr>
              <w:pStyle w:val="3"/>
              <w:snapToGrid w:val="0"/>
              <w:spacing w:line="420" w:lineRule="atLeast"/>
              <w:ind w:firstLine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根据参选人给出的可行性初步结论，包括初步定位、业态规划、租赁价格、经营方式、财务指标、招商成功率、风险评估</w:t>
            </w:r>
            <w:r>
              <w:rPr>
                <w:rFonts w:hint="eastAsia" w:ascii="宋体" w:hAnsi="宋体" w:cs="宋体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招商运营策略</w:t>
            </w:r>
            <w:bookmarkStart w:id="1" w:name="_GoBack"/>
            <w:bookmarkEnd w:id="1"/>
            <w:r>
              <w:rPr>
                <w:rFonts w:hint="eastAsia" w:ascii="宋体" w:hAnsi="宋体" w:cs="宋体"/>
                <w:sz w:val="24"/>
                <w:szCs w:val="24"/>
              </w:rPr>
              <w:t>等，分别进行评分</w:t>
            </w:r>
          </w:p>
        </w:tc>
      </w:tr>
      <w:tr>
        <w:trPr>
          <w:trHeight w:val="567" w:hRule="atLeast"/>
          <w:jc w:val="center"/>
        </w:trPr>
        <w:tc>
          <w:tcPr>
            <w:tcW w:w="9845" w:type="dxa"/>
            <w:gridSpan w:val="4"/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备注：1、各评标委员会成员评分的算术平均值为技术文件评审最后得分（保留小数点后两位，小数点后第三位“四舍五入”，第四位及以后不计）。</w:t>
            </w:r>
          </w:p>
          <w:p>
            <w:pPr>
              <w:numPr>
                <w:ilvl w:val="0"/>
                <w:numId w:val="2"/>
              </w:numPr>
              <w:snapToGrid w:val="0"/>
              <w:spacing w:line="300" w:lineRule="auto"/>
              <w:ind w:firstLine="588" w:firstLineChars="294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0"/>
              </w:rPr>
              <w:t>评标委员会成员对某评审子项目评分大于（含）90%或小于60%时，必须详细阐述具体理由。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52CA3F"/>
    <w:multiLevelType w:val="singleLevel"/>
    <w:tmpl w:val="3652CA3F"/>
    <w:lvl w:ilvl="0" w:tentative="0">
      <w:start w:val="2"/>
      <w:numFmt w:val="decimal"/>
      <w:suff w:val="nothing"/>
      <w:lvlText w:val="%1、"/>
      <w:lvlJc w:val="left"/>
      <w:rPr>
        <w:sz w:val="21"/>
        <w:szCs w:val="21"/>
      </w:rPr>
    </w:lvl>
  </w:abstractNum>
  <w:abstractNum w:abstractNumId="1">
    <w:nsid w:val="7B07B7CE"/>
    <w:multiLevelType w:val="singleLevel"/>
    <w:tmpl w:val="7B07B7CE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336"/>
    <w:rsid w:val="0002283C"/>
    <w:rsid w:val="000358B6"/>
    <w:rsid w:val="000A4C7F"/>
    <w:rsid w:val="00117A7F"/>
    <w:rsid w:val="00172F94"/>
    <w:rsid w:val="0028426E"/>
    <w:rsid w:val="003E2632"/>
    <w:rsid w:val="005C05E2"/>
    <w:rsid w:val="005F2430"/>
    <w:rsid w:val="00611CA3"/>
    <w:rsid w:val="006F74CA"/>
    <w:rsid w:val="009014F4"/>
    <w:rsid w:val="00951FCE"/>
    <w:rsid w:val="00AA04C8"/>
    <w:rsid w:val="00AF3AE3"/>
    <w:rsid w:val="00EC5FDF"/>
    <w:rsid w:val="00EE185D"/>
    <w:rsid w:val="00F328C6"/>
    <w:rsid w:val="00F33B1F"/>
    <w:rsid w:val="00FA1336"/>
    <w:rsid w:val="00FC23E0"/>
    <w:rsid w:val="00FC42F2"/>
    <w:rsid w:val="4DFFD2FD"/>
    <w:rsid w:val="4FDE021F"/>
    <w:rsid w:val="57FF0B52"/>
    <w:rsid w:val="7F67BB4A"/>
    <w:rsid w:val="BCBB8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spacing w:before="100" w:beforeLines="100" w:after="100" w:afterLines="100" w:line="360" w:lineRule="auto"/>
      <w:outlineLvl w:val="1"/>
    </w:pPr>
    <w:rPr>
      <w:rFonts w:ascii="Arial" w:hAnsi="Arial" w:eastAsia="黑体"/>
      <w:b/>
      <w:bCs/>
      <w:sz w:val="28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6"/>
    <w:uiPriority w:val="0"/>
    <w:pPr>
      <w:ind w:firstLine="420"/>
    </w:pPr>
  </w:style>
  <w:style w:type="paragraph" w:styleId="4">
    <w:name w:val="Body Text"/>
    <w:basedOn w:val="1"/>
    <w:link w:val="18"/>
    <w:semiHidden/>
    <w:unhideWhenUsed/>
    <w:uiPriority w:val="99"/>
    <w:pPr>
      <w:spacing w:after="120"/>
    </w:p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5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10">
    <w:name w:val="页眉 字符"/>
    <w:basedOn w:val="9"/>
    <w:link w:val="6"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uiPriority w:val="99"/>
    <w:rPr>
      <w:sz w:val="18"/>
      <w:szCs w:val="18"/>
    </w:rPr>
  </w:style>
  <w:style w:type="character" w:customStyle="1" w:styleId="12">
    <w:name w:val="标题 2 字符"/>
    <w:basedOn w:val="9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标题 2 字符1"/>
    <w:link w:val="2"/>
    <w:uiPriority w:val="0"/>
    <w:rPr>
      <w:rFonts w:ascii="Arial" w:hAnsi="Arial" w:eastAsia="黑体" w:cs="Times New Roman"/>
      <w:b/>
      <w:bCs/>
      <w:sz w:val="28"/>
      <w:szCs w:val="32"/>
    </w:rPr>
  </w:style>
  <w:style w:type="character" w:customStyle="1" w:styleId="14">
    <w:name w:val="标题 字符"/>
    <w:basedOn w:val="9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字符1"/>
    <w:link w:val="7"/>
    <w:uiPriority w:val="0"/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16">
    <w:name w:val="正文缩进 字符"/>
    <w:link w:val="3"/>
    <w:uiPriority w:val="0"/>
    <w:rPr>
      <w:rFonts w:ascii="Times New Roman" w:hAnsi="Times New Roman" w:eastAsia="宋体" w:cs="Times New Roman"/>
      <w:szCs w:val="20"/>
    </w:rPr>
  </w:style>
  <w:style w:type="paragraph" w:customStyle="1" w:styleId="17">
    <w:name w:val="表格文字"/>
    <w:basedOn w:val="1"/>
    <w:next w:val="4"/>
    <w:qFormat/>
    <w:uiPriority w:val="0"/>
    <w:pPr>
      <w:spacing w:before="25" w:after="25"/>
      <w:jc w:val="left"/>
    </w:pPr>
    <w:rPr>
      <w:bCs/>
      <w:spacing w:val="10"/>
      <w:kern w:val="0"/>
      <w:sz w:val="24"/>
      <w:szCs w:val="24"/>
    </w:rPr>
  </w:style>
  <w:style w:type="character" w:customStyle="1" w:styleId="18">
    <w:name w:val="正文文本 字符"/>
    <w:basedOn w:val="9"/>
    <w:link w:val="4"/>
    <w:semiHidden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111</Words>
  <Characters>638</Characters>
  <Lines>5</Lines>
  <Paragraphs>1</Paragraphs>
  <TotalTime>316</TotalTime>
  <ScaleCrop>false</ScaleCrop>
  <LinksUpToDate>false</LinksUpToDate>
  <CharactersWithSpaces>748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2022-10-18T16:00:00Z</dcterms:created>
  <dc:creator>LIN KAI</dc:creator>
  <cp:lastModifiedBy>LK</cp:lastModifiedBy>
  <dcterms:modified xsi:type="dcterms:W3CDTF">2023-08-08T22:50:26Z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23E53E199500889F014AAF645503EBCB_42</vt:lpwstr>
  </property>
</Properties>
</file>