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会议中心中央空调系统维保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会议中心中央空调系统维保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</w:t>
      </w:r>
      <w:r>
        <w:rPr>
          <w:rFonts w:hint="eastAsia"/>
          <w:color w:val="auto"/>
          <w:highlight w:val="none"/>
          <w:lang w:eastAsia="zh-CN"/>
        </w:rPr>
        <w:t>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拟派技术组成员表</w:t>
      </w:r>
      <w:r>
        <w:rPr>
          <w:rFonts w:hint="eastAsia"/>
          <w:color w:val="auto"/>
          <w:highlight w:val="none"/>
          <w:lang w:eastAsia="zh-CN"/>
        </w:rPr>
        <w:t>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业绩证明材料。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应提供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val="en-US" w:eastAsia="zh-CN"/>
        </w:rPr>
        <w:t>比选申请人及其现任法定代表人未被列入全国失信被执行人名单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"http://zxgk.court.gov.cn/shixin/），并加盖单位公章；"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http://zxgk.court.gov.cn/shixin/）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30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1-3.拟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派技术组成员表</w:t>
      </w:r>
    </w:p>
    <w:p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300" w:lineRule="auto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拟派技术组成员表</w:t>
      </w:r>
    </w:p>
    <w:tbl>
      <w:tblPr>
        <w:tblStyle w:val="21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054"/>
        <w:gridCol w:w="2143"/>
        <w:gridCol w:w="1781"/>
        <w:gridCol w:w="1781"/>
        <w:gridCol w:w="21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5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0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持证项目</w:t>
            </w: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发证时间</w:t>
            </w:r>
          </w:p>
        </w:tc>
        <w:tc>
          <w:tcPr>
            <w:tcW w:w="10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证书有效期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5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5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须随同本简历表附上：技术组成员身份证、执业注册证书复印件、社保管理部门出具的社保缴费证明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拟担任本项目的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技术组成员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应为比选申请人的本企业在岗人员，以社保管理部门出具的社保缴费证明所署单位为准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1-4.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业绩证明材料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业绩证明材料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比选申请人自本比选项目发布比选公告之日的近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年内（202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年10月1日至今）具备至少一项合格有效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中央空调设备项目维保维修改造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类似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业绩。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注：须提供类似业绩合同复印件、合同款正式发票复印件，业绩时间以合同签订之日为准；业绩证明材料须加盖单位公章。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</w:rPr>
              <w:t>元/年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2024年11月1日－2026年3月31日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>
      <w:pPr>
        <w:numPr>
          <w:ilvl w:val="0"/>
          <w:numId w:val="0"/>
        </w:numPr>
        <w:spacing w:line="440" w:lineRule="exact"/>
        <w:ind w:left="142" w:leftChars="0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项目维保要求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项目维保要求</w:t>
      </w:r>
    </w:p>
    <w:p>
      <w:pPr>
        <w:pStyle w:val="1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60" w:lineRule="exact"/>
        <w:ind w:left="0"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中央空调具体服务内容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空调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系统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停机期间、开机前必须对空调系统进行全面点检，并做好空调系统的预防性维护保养，要求每年两次，分别在四月份、十月份各一次，具体内容如下：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1、冷媒系统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a.冷媒管路接口冷媒泄漏检查 ；   e.冷媒系统冷媒量的确认；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b.冷媒管路接口冷冻油泄漏检查；  f.冷媒系统冷冻油量的确认；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c.冷媒系统压力测定；            g.压缩机所属电磁阀动作状况的检查；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d.冷媒系统部件、紧固件的确认；  h.热交换器的清洁保养；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2、电气系统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a.压缩机工作电流的测定；        i.控制线路的检查及修复；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b.压缩机绝缘阻值的测定；        j.电器控制部件的调整 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c.压缩机运转、震动音的判定 ；   k.控制部件工作电流的测定；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d.压缩机工作电压的确认；        l.压缩机用热敏电阻的测定；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e.机组工作电压的测定；          m.检查机组的设定程序运转情况；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f.加热器工作状况的测定 ；       n.检查，清洁电器箱；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g.电器部件螺丝和紧固件的确认；  o.保护装置部件状态的确认和调整；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h.盘管侧热敏电阻阻值的测定；    p.风机风扇运转的检查测定；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3、水系统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a.进、出水温度的测定 ；         e.冷却塔的检查、清洗；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b.进、出水压力的测定；          f.水管道保温检查；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c.外观检查污染清扫；            g.膨胀水箱的检查；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d.水泵的检查、运转确认；        h. 排水管的检查；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4、风循环系统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a.末端过滤网的清洗；             d.回风口的检查、调整；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b.外观检查、污染清扫；           e.送风口的检查、调整；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c.风管保温检查；                 f.静压箱的检查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。</w:t>
      </w:r>
    </w:p>
    <w:sectPr>
      <w:headerReference r:id="rId7" w:type="default"/>
      <w:footerReference r:id="rId8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6F8DE8D"/>
    <w:multiLevelType w:val="singleLevel"/>
    <w:tmpl w:val="C6F8DE8D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8EB33BA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4317D0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3F408B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3D7D50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0B6EB9"/>
    <w:rsid w:val="761E4C8C"/>
    <w:rsid w:val="76417AD8"/>
    <w:rsid w:val="7690109D"/>
    <w:rsid w:val="76A9028A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4524</Words>
  <Characters>4708</Characters>
  <Lines>16</Lines>
  <Paragraphs>4</Paragraphs>
  <TotalTime>12</TotalTime>
  <ScaleCrop>false</ScaleCrop>
  <LinksUpToDate>false</LinksUpToDate>
  <CharactersWithSpaces>5273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smile</cp:lastModifiedBy>
  <cp:lastPrinted>2023-02-20T08:54:00Z</cp:lastPrinted>
  <dcterms:modified xsi:type="dcterms:W3CDTF">2024-10-21T08:30:55Z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5EA2A6B1D0DD44878CAAA865C7117BAB</vt:lpwstr>
  </property>
</Properties>
</file>